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9"/>
        <w:tblpPr w:horzAnchor="margin" w:tblpXSpec="center" w:vertAnchor="text" w:tblpY="-67" w:leftFromText="180" w:topFromText="0" w:rightFromText="180" w:bottomFromText="0"/>
        <w:tblW w:w="11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>
        <w:trPr/>
        <w:tc>
          <w:tcPr>
            <w:tcW w:w="5920" w:type="dxa"/>
            <w:textDirection w:val="lrTb"/>
            <w:noWrap w:val="false"/>
          </w:tcPr>
          <w:p>
            <w:pPr>
              <w:ind w:left="-284"/>
              <w:tabs>
                <w:tab w:val="left" w:pos="210" w:leader="none"/>
                <w:tab w:val="left" w:pos="1080" w:leader="none"/>
              </w:tabs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4445</wp:posOffset>
                      </wp:positionV>
                      <wp:extent cx="3697605" cy="1490437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97605" cy="1490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17.25pt;mso-position-horizontal:absolute;mso-position-vertical-relative:text;margin-top:0.35pt;mso-position-vertical:absolute;width:291.15pt;height:117.36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</w:tc>
        <w:tc>
          <w:tcPr>
            <w:tcW w:w="5420" w:type="dxa"/>
            <w:textDirection w:val="lrTb"/>
            <w:noWrap w:val="false"/>
          </w:tcPr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Крым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стата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+7 (3652) 25-52-41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-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01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@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rosstat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gov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Arial" w:hAnsi="Arial" w:cs="Arial"/>
                <w:color w:val="282a2e" w:themeColor="text1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</w:tc>
      </w:tr>
    </w:tbl>
    <w:p>
      <w:pPr>
        <w:pStyle w:val="701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pStyle w:val="701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pStyle w:val="701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</w:t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ind w:right="-2"/>
        <w:spacing w:after="0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3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мая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 2024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, г. Севастополь</w:t>
      </w:r>
      <w:r>
        <w:rPr>
          <w:rFonts w:ascii="Arial" w:hAnsi="Arial" w:cs="Arial"/>
          <w:b/>
          <w:bCs/>
          <w:color w:val="282a2e"/>
          <w:sz w:val="26"/>
          <w:szCs w:val="26"/>
        </w:rPr>
      </w:r>
    </w:p>
    <w:p>
      <w:pPr>
        <w:ind w:right="-427"/>
        <w:spacing w:after="0"/>
        <w:rPr>
          <w:rFonts w:ascii="Arial" w:hAnsi="Arial" w:cs="Arial"/>
          <w:b/>
          <w:bCs/>
          <w:color w:val="363194"/>
          <w:sz w:val="36"/>
          <w:szCs w:val="32"/>
        </w:rPr>
      </w:pPr>
      <w:r>
        <w:rPr>
          <w:rFonts w:ascii="Arial" w:hAnsi="Arial" w:cs="Arial"/>
          <w:b/>
          <w:bCs/>
          <w:color w:val="363194"/>
          <w:sz w:val="36"/>
          <w:szCs w:val="32"/>
        </w:rPr>
        <w:t xml:space="preserve">ЖИЛИЩНЫЕ УСЛОВИЯ НАСЕЛЕНИЯ </w:t>
      </w:r>
      <w:r>
        <w:rPr>
          <w:rFonts w:ascii="Arial" w:hAnsi="Arial" w:cs="Arial"/>
          <w:b/>
          <w:bCs/>
          <w:color w:val="363194"/>
          <w:sz w:val="36"/>
          <w:szCs w:val="32"/>
        </w:rPr>
        <w:br/>
      </w:r>
      <w:bookmarkStart w:id="0" w:name="_GoBack"/>
      <w:r/>
      <w:bookmarkEnd w:id="0"/>
      <w:r>
        <w:rPr>
          <w:rFonts w:ascii="Arial" w:hAnsi="Arial" w:cs="Arial"/>
          <w:b/>
          <w:bCs/>
          <w:color w:val="363194"/>
          <w:sz w:val="36"/>
          <w:szCs w:val="32"/>
        </w:rPr>
        <w:t xml:space="preserve">ГОРОДА СЕВАСТОПОЛЯ</w:t>
      </w:r>
      <w:r>
        <w:rPr>
          <w:rFonts w:ascii="Arial" w:hAnsi="Arial" w:cs="Arial"/>
          <w:b/>
          <w:bCs/>
          <w:color w:val="363194"/>
          <w:sz w:val="36"/>
          <w:szCs w:val="32"/>
        </w:rPr>
        <w:t xml:space="preserve"> </w:t>
      </w:r>
      <w:r>
        <w:rPr>
          <w:rFonts w:ascii="Arial" w:hAnsi="Arial" w:cs="Arial"/>
          <w:b/>
          <w:bCs/>
          <w:color w:val="363194"/>
          <w:sz w:val="36"/>
          <w:szCs w:val="32"/>
        </w:rPr>
      </w:r>
    </w:p>
    <w:p>
      <w:pPr>
        <w:ind w:right="-2"/>
        <w:spacing w:after="0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НА КОНЕЦ 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202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3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36319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Потребность в жилье </w:t>
      </w:r>
      <w:r>
        <w:rPr>
          <w:rFonts w:ascii="Arial" w:hAnsi="Arial" w:cs="Arial"/>
          <w:color w:val="282a2e"/>
        </w:rPr>
        <w:t xml:space="preserve">–</w:t>
      </w:r>
      <w:r>
        <w:rPr>
          <w:rFonts w:ascii="Arial" w:hAnsi="Arial" w:cs="Arial"/>
          <w:color w:val="282a2e"/>
        </w:rPr>
        <w:t xml:space="preserve"> естественная потребность человека. Качественное жилье – материальная предпосылка, обеспечивающая человеку благоприятную среду обитания, способствующая сохранению его здоровья, активному участию в производственной и общественной деятельности.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На 31 декабря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года жилищный фонд</w:t>
      </w:r>
      <w:r>
        <w:rPr>
          <w:rFonts w:ascii="Arial" w:hAnsi="Arial" w:cs="Arial"/>
          <w:color w:val="282a2e"/>
          <w:vertAlign w:val="superscript"/>
        </w:rPr>
        <w:t xml:space="preserve">1)</w:t>
      </w:r>
      <w:r>
        <w:rPr>
          <w:rFonts w:ascii="Arial" w:hAnsi="Arial" w:cs="Arial"/>
          <w:color w:val="282a2e"/>
        </w:rPr>
        <w:t xml:space="preserve"> субъекта Российской Федерации города Севастополя составил </w:t>
      </w:r>
      <w:r>
        <w:rPr>
          <w:rFonts w:ascii="Arial" w:hAnsi="Arial" w:cs="Arial"/>
          <w:color w:val="282a2e"/>
        </w:rPr>
        <w:t xml:space="preserve">13,1</w:t>
      </w:r>
      <w:r>
        <w:rPr>
          <w:rFonts w:ascii="Arial" w:hAnsi="Arial" w:cs="Arial"/>
          <w:color w:val="282a2e"/>
        </w:rPr>
        <w:t xml:space="preserve"> млн кв. метров общей площади. Наибольшая часть жилищного фонда (</w:t>
      </w:r>
      <w:r>
        <w:rPr>
          <w:rFonts w:ascii="Arial" w:hAnsi="Arial" w:cs="Arial"/>
          <w:color w:val="282a2e"/>
        </w:rPr>
        <w:t xml:space="preserve">78,9</w:t>
      </w:r>
      <w:r>
        <w:rPr>
          <w:rFonts w:ascii="Arial" w:hAnsi="Arial" w:cs="Arial"/>
          <w:color w:val="282a2e"/>
        </w:rPr>
        <w:t xml:space="preserve">%) приходится на жилищный фонд многоквартирных домов, </w:t>
      </w:r>
      <w:r>
        <w:rPr>
          <w:rFonts w:ascii="Arial" w:hAnsi="Arial" w:cs="Arial"/>
          <w:color w:val="282a2e"/>
        </w:rPr>
        <w:t xml:space="preserve">20,2</w:t>
      </w:r>
      <w:r>
        <w:rPr>
          <w:rFonts w:ascii="Arial" w:hAnsi="Arial" w:cs="Arial"/>
          <w:color w:val="282a2e"/>
        </w:rPr>
        <w:t xml:space="preserve">% на жилищный фонд индивидуально-определенных зданий (частный сектор). </w:t>
      </w:r>
      <w:r>
        <w:rPr>
          <w:rFonts w:ascii="Arial" w:hAnsi="Arial" w:cs="Arial"/>
          <w:color w:val="282a2e"/>
        </w:rPr>
        <w:t xml:space="preserve">В</w:t>
      </w:r>
      <w:r>
        <w:rPr>
          <w:rFonts w:ascii="Arial" w:hAnsi="Arial" w:cs="Arial"/>
          <w:color w:val="282a2e"/>
        </w:rPr>
        <w:t xml:space="preserve"> частной собственности находится </w:t>
      </w:r>
      <w:r>
        <w:rPr>
          <w:rFonts w:ascii="Arial" w:hAnsi="Arial" w:cs="Arial"/>
          <w:color w:val="282a2e"/>
        </w:rPr>
        <w:t xml:space="preserve">7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% всего жилого фонда.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Общая площадь помещений, приходящаяся в среднем на одного жителя составила </w:t>
      </w:r>
      <w:r>
        <w:rPr>
          <w:rFonts w:ascii="Arial" w:hAnsi="Arial" w:cs="Arial"/>
          <w:color w:val="282a2e"/>
        </w:rPr>
        <w:br/>
        <w:t xml:space="preserve">23,5</w:t>
      </w:r>
      <w:r>
        <w:rPr>
          <w:rFonts w:ascii="Arial" w:hAnsi="Arial" w:cs="Arial"/>
          <w:color w:val="282a2e"/>
        </w:rPr>
        <w:t xml:space="preserve"> кв. метров, а средний размер одного жилого помещения в многоквартирных домах нашего </w:t>
      </w:r>
      <w:r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 xml:space="preserve">региона </w:t>
      </w:r>
      <w:r>
        <w:rPr>
          <w:rFonts w:ascii="Arial" w:hAnsi="Arial" w:cs="Arial"/>
          <w:color w:val="282a2e"/>
        </w:rPr>
        <w:t xml:space="preserve">–</w:t>
      </w:r>
      <w:r>
        <w:rPr>
          <w:rFonts w:ascii="Arial" w:hAnsi="Arial" w:cs="Arial"/>
          <w:color w:val="282a2e"/>
        </w:rPr>
        <w:t xml:space="preserve"> 6</w:t>
      </w:r>
      <w:r>
        <w:rPr>
          <w:rFonts w:ascii="Arial" w:hAnsi="Arial" w:cs="Arial"/>
          <w:color w:val="282a2e"/>
        </w:rPr>
        <w:t xml:space="preserve">7</w:t>
      </w:r>
      <w:r>
        <w:rPr>
          <w:rFonts w:ascii="Arial" w:hAnsi="Arial" w:cs="Arial"/>
          <w:color w:val="282a2e"/>
        </w:rPr>
        <w:t xml:space="preserve">,0</w:t>
      </w:r>
      <w:r>
        <w:rPr>
          <w:rFonts w:ascii="Arial" w:hAnsi="Arial" w:cs="Arial"/>
          <w:color w:val="282a2e"/>
        </w:rPr>
        <w:t xml:space="preserve"> кв. метров.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Благоустройство жи</w:t>
      </w:r>
      <w:r>
        <w:rPr>
          <w:rFonts w:ascii="Arial" w:hAnsi="Arial" w:cs="Arial"/>
          <w:color w:val="282a2e"/>
        </w:rPr>
        <w:t xml:space="preserve">лья характеризуется наличием основных видов инженерного оборудования: водопроводом, водоотведением, отоплением, горячим водоснабжением, газом или напольными электрическими плитами. В городе Севастополе одновременно всеми видами благоустройства оборудовано </w:t>
      </w:r>
      <w:r>
        <w:rPr>
          <w:rFonts w:ascii="Arial" w:hAnsi="Arial" w:cs="Arial"/>
          <w:color w:val="282a2e"/>
        </w:rPr>
        <w:t xml:space="preserve">66,4</w:t>
      </w:r>
      <w:r>
        <w:rPr>
          <w:rFonts w:ascii="Arial" w:hAnsi="Arial" w:cs="Arial"/>
          <w:color w:val="282a2e"/>
        </w:rPr>
        <w:t xml:space="preserve">% жилищного фонда.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Большую часть жилищного фонда представляют блочные дома, которые составляют </w:t>
      </w:r>
      <w:r>
        <w:rPr>
          <w:rFonts w:ascii="Arial" w:hAnsi="Arial" w:cs="Arial"/>
          <w:color w:val="282a2e"/>
        </w:rPr>
        <w:t xml:space="preserve">56,5</w:t>
      </w:r>
      <w:r>
        <w:rPr>
          <w:rFonts w:ascii="Arial" w:hAnsi="Arial" w:cs="Arial"/>
          <w:color w:val="282a2e"/>
        </w:rPr>
        <w:t xml:space="preserve">% общей площади жилищного фонда, каменные и панельные 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  <w:t xml:space="preserve">–</w:t>
      </w:r>
      <w:r/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19,9</w:t>
      </w:r>
      <w:r>
        <w:rPr>
          <w:rFonts w:ascii="Arial" w:hAnsi="Arial" w:cs="Arial"/>
          <w:color w:val="282a2e"/>
        </w:rPr>
        <w:t xml:space="preserve">% и 9,</w:t>
      </w:r>
      <w:r>
        <w:rPr>
          <w:rFonts w:ascii="Arial" w:hAnsi="Arial" w:cs="Arial"/>
          <w:color w:val="282a2e"/>
        </w:rPr>
        <w:t xml:space="preserve">4</w:t>
      </w:r>
      <w:r>
        <w:rPr>
          <w:rFonts w:ascii="Arial" w:hAnsi="Arial" w:cs="Arial"/>
          <w:color w:val="282a2e"/>
        </w:rPr>
        <w:t xml:space="preserve">% соответственно.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городе Севастополе здания, построенные в период с 1946 по 1995 годы, составляют </w:t>
      </w:r>
      <w:r>
        <w:rPr>
          <w:rFonts w:ascii="Arial" w:hAnsi="Arial" w:cs="Arial"/>
          <w:color w:val="282a2e"/>
        </w:rPr>
        <w:t xml:space="preserve">56,7</w:t>
      </w:r>
      <w:r>
        <w:rPr>
          <w:rFonts w:ascii="Arial" w:hAnsi="Arial" w:cs="Arial"/>
          <w:color w:val="282a2e"/>
        </w:rPr>
        <w:t xml:space="preserve">% общей площади жилищного фонда.</w:t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Важной характеристикой жилищного фонда выступает его техническое состояние. Более трех четвертей (78,3%) общей площади жилищного фонда многоквартирных домов имеет износ свыше 30%, в том числе </w:t>
      </w:r>
      <w:r>
        <w:rPr>
          <w:rFonts w:ascii="Arial" w:hAnsi="Arial" w:cs="Arial"/>
          <w:color w:val="282a2e"/>
        </w:rPr>
        <w:t xml:space="preserve">5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2</w:t>
      </w:r>
      <w:r>
        <w:rPr>
          <w:rFonts w:ascii="Arial" w:hAnsi="Arial" w:cs="Arial"/>
          <w:color w:val="282a2e"/>
        </w:rPr>
        <w:t xml:space="preserve">% фонда изношено более чем на 70%. Пятая часть (21,7%) жилищного фонда имеет износ менее 30%.</w:t>
      </w:r>
      <w:r>
        <w:rPr>
          <w:rFonts w:ascii="Arial" w:hAnsi="Arial" w:cs="Arial"/>
          <w:color w:val="282a2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  <w:sz w:val="18"/>
        </w:rPr>
      </w:pPr>
      <w:r>
        <w:rPr>
          <w:vertAlign w:val="superscript"/>
        </w:rPr>
        <w:t xml:space="preserve">1)</w:t>
      </w:r>
      <w:r>
        <w:t xml:space="preserve"> </w:t>
      </w:r>
      <w:r>
        <w:rPr>
          <w:rFonts w:ascii="Arial" w:hAnsi="Arial" w:cs="Arial"/>
          <w:color w:val="282a2e"/>
          <w:sz w:val="18"/>
        </w:rPr>
        <w:t xml:space="preserve">В связи с отсутствием нормативно-правового акта, устанавливающего поряд</w:t>
      </w:r>
      <w:r>
        <w:rPr>
          <w:rFonts w:ascii="Arial" w:hAnsi="Arial" w:cs="Arial"/>
          <w:color w:val="282a2e"/>
          <w:sz w:val="18"/>
        </w:rPr>
        <w:t xml:space="preserve">ок государственного учета жилищного фонда в Российской Федерации, в том числе его государственного технического учета (включая техническую инвентаризацию), официальная статистическая информация за 2023 год не по полному кругу собственников жилищного фонда.</w:t>
      </w:r>
      <w:r>
        <w:rPr>
          <w:rFonts w:ascii="Arial" w:hAnsi="Arial" w:cs="Arial"/>
          <w:color w:val="282a2e"/>
          <w:sz w:val="1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0" w:right="567" w:bottom="1134" w:left="709" w:header="709" w:footer="12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758437"/>
      <w:docPartObj>
        <w:docPartGallery w:val="Page Numbers (Bottom of Page)"/>
        <w:docPartUnique w:val="true"/>
      </w:docPartObj>
      <w:rPr/>
    </w:sdtPr>
    <w:sdtContent>
      <w:p>
        <w:pPr>
          <w:pStyle w:val="703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 xml:space="preserve"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 w:themeColor="text1"/>
            <w:sz w:val="24"/>
            <w:szCs w:val="24"/>
          </w:rPr>
          <w:t xml:space="preserve"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</w:p>
    </w:sdtContent>
  </w:sdt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ind w:left="708"/>
      <w:rPr>
        <w:rFonts w:ascii="Arial" w:hAnsi="Arial" w:cs="Arial"/>
        <w:color w:val="363194" w:themeColor="accent1"/>
        <w:sz w:val="36"/>
        <w:szCs w:val="36"/>
      </w:rPr>
    </w:pP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8"/>
    <w:link w:val="712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701"/>
    <w:uiPriority w:val="99"/>
  </w:style>
  <w:style w:type="character" w:styleId="45">
    <w:name w:val="Footer Char"/>
    <w:basedOn w:val="698"/>
    <w:link w:val="703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c37a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3471c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c6c8cd" w:themeFill="text1" w:themeFillTint="40"/>
    </w:tblPr>
    <w:tblStylePr w:type="band1Horz">
      <w:tcPr>
        <w:shd w:val="clear" w:color="ffffff" w:themeColor="text1" w:themeTint="75" w:fill="979ca4" w:themeFill="text1" w:themeFillTint="75"/>
      </w:tcPr>
    </w:tblStylePr>
    <w:tblStylePr w:type="band1Vert">
      <w:tcPr>
        <w:shd w:val="clear" w:color="ffffff" w:themeColor="text1" w:themeTint="75" w:fill="979ca4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0ceef" w:themeFill="accent1" w:themeFillTint="34"/>
    </w:tblPr>
    <w:tblStylePr w:type="band1Horz">
      <w:tcPr>
        <w:shd w:val="clear" w:color="ffffff" w:themeColor="accent1" w:themeTint="75" w:fill="9692db" w:themeFill="accent1" w:themeFillTint="75"/>
      </w:tcPr>
    </w:tblStylePr>
    <w:tblStylePr w:type="band1Vert">
      <w:tcPr>
        <w:shd w:val="clear" w:color="ffffff" w:themeColor="accent1" w:themeTint="75" w:fill="9692d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e1da" w:themeFill="accent2" w:themeFillTint="32"/>
    </w:tblPr>
    <w:tblStylePr w:type="band1Horz">
      <w:tcPr>
        <w:shd w:val="clear" w:color="ffffff" w:themeColor="accent2" w:themeTint="75" w:fill="f1b9aa" w:themeFill="accent2" w:themeFillTint="75"/>
      </w:tcPr>
    </w:tblStylePr>
    <w:tblStylePr w:type="band1Vert">
      <w:tcPr>
        <w:shd w:val="clear" w:color="ffffff" w:themeColor="accent2" w:themeTint="75" w:fill="f1b9aa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4e1f3" w:themeFill="accent3" w:themeFillTint="34"/>
    </w:tblPr>
    <w:tblStylePr w:type="band1Horz">
      <w:tcPr>
        <w:shd w:val="clear" w:color="ffffff" w:themeColor="accent3" w:themeTint="75" w:fill="9ebce5" w:themeFill="accent3" w:themeFillTint="75"/>
      </w:tcPr>
    </w:tblStylePr>
    <w:tblStylePr w:type="band1Vert">
      <w:tcPr>
        <w:shd w:val="clear" w:color="ffffff" w:themeColor="accent3" w:themeTint="75" w:fill="9ebce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7eee3" w:themeFill="accent4" w:themeFillTint="34"/>
    </w:tblPr>
    <w:tblStylePr w:type="band1Horz">
      <w:tcPr>
        <w:shd w:val="clear" w:color="ffffff" w:themeColor="accent4" w:themeTint="75" w:fill="a7dac1" w:themeFill="accent4" w:themeFillTint="75"/>
      </w:tcPr>
    </w:tblStylePr>
    <w:tblStylePr w:type="band1Vert">
      <w:tcPr>
        <w:shd w:val="clear" w:color="ffffff" w:themeColor="accent4" w:themeTint="75" w:fill="a7dac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ece1" w:themeFill="accent6" w:themeFillTint="34"/>
    </w:tblPr>
    <w:tblStylePr w:type="band1Horz">
      <w:tcPr>
        <w:shd w:val="clear" w:color="ffffff" w:themeColor="accent6" w:themeTint="75" w:fill="ffd5bd" w:themeFill="accent6" w:themeFillTint="75"/>
      </w:tcPr>
    </w:tblStylePr>
    <w:tblStylePr w:type="band1Vert">
      <w:tcPr>
        <w:shd w:val="clear" w:color="ffffff" w:themeColor="accent6" w:themeTint="75" w:fill="ffd5b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tcPr>
        <w:shd w:val="clear" w:color="ffffff" w:themeColor="text1" w:themeTint="34" w:fill="d1d3d6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0545b" w:themeColor="text1" w:themeTint="80" w:themeShade="95"/>
      </w:rPr>
    </w:tblStylePr>
    <w:tblStylePr w:type="firstRow">
      <w:rPr>
        <w:b/>
        <w:color w:val="50545b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50545b" w:themeColor="text1" w:themeTint="80" w:themeShade="95"/>
      </w:rPr>
    </w:tblStylePr>
    <w:tblStylePr w:type="lastRow">
      <w:rPr>
        <w:b/>
        <w:color w:val="50545b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83398" w:themeColor="accent1" w:themeTint="80" w:themeShade="95"/>
      </w:rPr>
    </w:tblStylePr>
    <w:tblStylePr w:type="firstRow">
      <w:rPr>
        <w:b/>
        <w:color w:val="383398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83398" w:themeColor="accent1" w:themeTint="80" w:themeShade="95"/>
      </w:rPr>
    </w:tblStylePr>
    <w:tblStylePr w:type="lastRow">
      <w:rPr>
        <w:b/>
        <w:color w:val="383398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e4371" w:themeColor="accent3" w:themeTint="FE" w:themeShade="95"/>
      </w:rPr>
    </w:tblStylePr>
    <w:tblStylePr w:type="firstRow">
      <w:rPr>
        <w:b/>
        <w:color w:val="1e437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e4371" w:themeColor="accent3" w:themeTint="FE" w:themeShade="95"/>
      </w:rPr>
    </w:tblStylePr>
    <w:tblStylePr w:type="lastRow">
      <w:rPr>
        <w:b/>
        <w:color w:val="1e437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83398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383398" w:themeColor="accent1" w:themeTint="80" w:themeShade="95"/>
        <w:sz w:val="22"/>
      </w:rPr>
    </w:tblStylePr>
    <w:tblStylePr w:type="firstCol">
      <w:rPr>
        <w:rFonts w:ascii="Arial" w:hAnsi="Arial"/>
        <w:i/>
        <w:color w:val="383398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83398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e4371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1e4371" w:themeColor="accent3" w:themeTint="FE" w:themeShade="95"/>
        <w:sz w:val="22"/>
      </w:rPr>
    </w:tblStylePr>
    <w:tblStylePr w:type="firstCol">
      <w:rPr>
        <w:rFonts w:ascii="Arial" w:hAnsi="Arial"/>
        <w:i/>
        <w:color w:val="1e437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1e437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d65000" w:themeColor="accent6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d65000" w:themeColor="accent6" w:themeShade="95"/>
        <w:sz w:val="22"/>
      </w:rPr>
    </w:tblStylePr>
    <w:tblStylePr w:type="firstCol">
      <w:rPr>
        <w:rFonts w:ascii="Arial" w:hAnsi="Arial"/>
        <w:i/>
        <w:color w:val="d65000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d65000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82a9dd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fc9a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8d929c" w:themeFill="text1" w:themeFillTint="80"/>
    </w:tblPr>
    <w:tblStylePr w:type="band1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8d929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8d929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63194" w:themeFill="accent1"/>
    </w:tblPr>
    <w:tblStylePr w:type="band1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6319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6319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a591" w:themeFill="accent2" w:themeFillTint="97"/>
    </w:tblPr>
    <w:tblStylePr w:type="band1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a59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82a9dd" w:themeFill="accent3" w:themeFillTint="98"/>
    </w:tblPr>
    <w:tblStylePr w:type="band1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82a9dd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82a9dd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8bceae" w:themeFill="accent4" w:themeFillTint="9A"/>
    </w:tblPr>
    <w:tblStylePr w:type="band1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8bcea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fc9a9" w:themeFill="accent6" w:themeFillTint="98"/>
    </w:tblPr>
    <w:tblStylePr w:type="band1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fc9a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fc9a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282a2e" w:themeColor="text1"/>
      </w:rPr>
    </w:tblStylePr>
    <w:tblStylePr w:type="firstRow">
      <w:rPr>
        <w:b/>
        <w:color w:val="282a2e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282a2e" w:themeColor="text1"/>
      </w:rPr>
    </w:tblStylePr>
    <w:tblStylePr w:type="lastRow">
      <w:rPr>
        <w:b/>
        <w:color w:val="282a2e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f1c55" w:themeColor="accent1" w:themeShade="95"/>
      </w:rPr>
    </w:tblStylePr>
    <w:tblStylePr w:type="firstRow">
      <w:rPr>
        <w:b/>
        <w:color w:val="1f1c5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1f1c55" w:themeColor="accent1" w:themeShade="95"/>
      </w:rPr>
    </w:tblStylePr>
    <w:tblStylePr w:type="lastRow">
      <w:rPr>
        <w:b/>
        <w:color w:val="1f1c5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c5fa0" w:themeColor="accent3" w:themeTint="98" w:themeShade="95"/>
      </w:rPr>
    </w:tblStylePr>
    <w:tblStylePr w:type="firstRow">
      <w:rPr>
        <w:b/>
        <w:color w:val="2c5fa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c5fa0" w:themeColor="accent3" w:themeTint="98" w:themeShade="95"/>
      </w:rPr>
    </w:tblStylePr>
    <w:tblStylePr w:type="lastRow">
      <w:rPr>
        <w:b/>
        <w:color w:val="2c5fa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f85700" w:themeColor="accent6" w:themeTint="98" w:themeShade="95"/>
      </w:rPr>
    </w:tblStylePr>
    <w:tblStylePr w:type="firstRow">
      <w:rPr>
        <w:b/>
        <w:color w:val="f8570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f85700" w:themeColor="accent6" w:themeTint="98" w:themeShade="95"/>
      </w:rPr>
    </w:tblStylePr>
    <w:tblStylePr w:type="lastRow">
      <w:rPr>
        <w:b/>
        <w:color w:val="f8570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0545b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1f1c55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1f1c55" w:themeColor="accent1" w:themeShade="95"/>
        <w:sz w:val="22"/>
      </w:rPr>
    </w:tblStylePr>
    <w:tblStylePr w:type="firstCol">
      <w:rPr>
        <w:rFonts w:ascii="Arial" w:hAnsi="Arial"/>
        <w:i/>
        <w:color w:val="1f1c55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1f1c55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1c55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1401e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c5fa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2c5fa0" w:themeColor="accent3" w:themeTint="98" w:themeShade="95"/>
        <w:sz w:val="22"/>
      </w:rPr>
    </w:tblStylePr>
    <w:tblStylePr w:type="firstCol">
      <w:rPr>
        <w:rFonts w:ascii="Arial" w:hAnsi="Arial"/>
        <w:i/>
        <w:color w:val="2c5fa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c5fa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c5fa0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c8d66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f8570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f85700" w:themeColor="accent6" w:themeTint="98" w:themeShade="95"/>
        <w:sz w:val="22"/>
      </w:rPr>
    </w:tblStylePr>
    <w:tblStylePr w:type="firstCol">
      <w:rPr>
        <w:rFonts w:ascii="Arial" w:hAnsi="Arial"/>
        <w:i/>
        <w:color w:val="f85700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f85700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f85700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8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>
    <w:name w:val="Header"/>
    <w:basedOn w:val="697"/>
    <w:link w:val="7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Верхний колонтитул Знак"/>
    <w:basedOn w:val="698"/>
    <w:link w:val="701"/>
    <w:uiPriority w:val="99"/>
  </w:style>
  <w:style w:type="paragraph" w:styleId="703">
    <w:name w:val="Footer"/>
    <w:basedOn w:val="697"/>
    <w:link w:val="7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basedOn w:val="698"/>
    <w:link w:val="703"/>
    <w:uiPriority w:val="99"/>
  </w:style>
  <w:style w:type="paragraph" w:styleId="705">
    <w:name w:val="List Paragraph"/>
    <w:basedOn w:val="697"/>
    <w:uiPriority w:val="34"/>
    <w:qFormat/>
    <w:pPr>
      <w:contextualSpacing/>
      <w:ind w:left="720"/>
    </w:pPr>
  </w:style>
  <w:style w:type="table" w:styleId="706" w:customStyle="1">
    <w:name w:val="Сетка таблицы светлая1"/>
    <w:basedOn w:val="699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707">
    <w:name w:val="Hyperlink"/>
    <w:basedOn w:val="698"/>
    <w:uiPriority w:val="99"/>
    <w:unhideWhenUsed/>
    <w:rPr>
      <w:color w:val="5b9bd5" w:themeColor="hyperlink"/>
      <w:u w:val="single"/>
    </w:rPr>
  </w:style>
  <w:style w:type="character" w:styleId="708" w:customStyle="1">
    <w:name w:val="Unresolved Mention"/>
    <w:basedOn w:val="698"/>
    <w:uiPriority w:val="99"/>
    <w:semiHidden/>
    <w:unhideWhenUsed/>
    <w:rPr>
      <w:color w:val="605e5c"/>
      <w:shd w:val="clear" w:color="auto" w:fill="e1dfdd"/>
    </w:rPr>
  </w:style>
  <w:style w:type="table" w:styleId="709">
    <w:name w:val="Table Grid"/>
    <w:basedOn w:val="69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0">
    <w:name w:val="Balloon Text"/>
    <w:basedOn w:val="697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8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Title"/>
    <w:basedOn w:val="697"/>
    <w:link w:val="713"/>
    <w:qFormat/>
    <w:pPr>
      <w:ind w:firstLine="720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13" w:customStyle="1">
    <w:name w:val="Название Знак"/>
    <w:basedOn w:val="698"/>
    <w:link w:val="712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14" w:customStyle="1">
    <w:name w:val="Style 1"/>
    <w:basedOn w:val="697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715" w:customStyle="1">
    <w:name w:val="Character Style 1"/>
    <w:uiPriority w:val="99"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DE31-EFE1-43F7-8B95-1E0F03F4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Григорь Наталья Николаевна, Заместитель руководителя, Крымстат</cp:lastModifiedBy>
  <cp:revision>7</cp:revision>
  <dcterms:created xsi:type="dcterms:W3CDTF">2024-05-02T06:02:00Z</dcterms:created>
  <dcterms:modified xsi:type="dcterms:W3CDTF">2024-05-03T07:38:44Z</dcterms:modified>
</cp:coreProperties>
</file>